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E6C1C74" w:rsidR="009B7367" w:rsidRPr="00686914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686914">
        <w:rPr>
          <w:rFonts w:ascii="宋体" w:eastAsia="宋体" w:hAnsi="宋体" w:hint="eastAsia"/>
          <w:b/>
          <w:sz w:val="44"/>
          <w:szCs w:val="44"/>
        </w:rPr>
        <w:t>十足集团</w:t>
      </w:r>
      <w:r w:rsidR="001662DF" w:rsidRPr="00686914">
        <w:rPr>
          <w:rFonts w:ascii="宋体" w:eastAsia="宋体" w:hAnsi="宋体" w:hint="eastAsia"/>
          <w:b/>
          <w:sz w:val="44"/>
          <w:szCs w:val="44"/>
        </w:rPr>
        <w:t>股份有限公司</w:t>
      </w:r>
      <w:r w:rsidRPr="00686914">
        <w:rPr>
          <w:rFonts w:ascii="宋体" w:eastAsia="宋体" w:hAnsi="宋体" w:hint="eastAsia"/>
          <w:b/>
          <w:sz w:val="44"/>
          <w:szCs w:val="44"/>
        </w:rPr>
        <w:t>2</w:t>
      </w:r>
      <w:r w:rsidRPr="00686914">
        <w:rPr>
          <w:rFonts w:ascii="宋体" w:eastAsia="宋体" w:hAnsi="宋体"/>
          <w:b/>
          <w:sz w:val="44"/>
          <w:szCs w:val="44"/>
        </w:rPr>
        <w:t>026</w:t>
      </w:r>
      <w:r w:rsidRPr="00686914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20978411" w:rsidR="009B736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AD25704" w14:textId="0A2F32BC" w:rsidR="009B7367" w:rsidRDefault="00000000">
      <w:pPr>
        <w:spacing w:line="340" w:lineRule="exact"/>
        <w:rPr>
          <w:rFonts w:hint="eastAsia"/>
          <w:spacing w:val="8"/>
        </w:rPr>
      </w:pPr>
      <w:r>
        <w:rPr>
          <w:rFonts w:ascii="黑体" w:eastAsia="黑体" w:hAnsi="黑体" w:cs="黑体" w:hint="eastAsia"/>
          <w:spacing w:val="9"/>
          <w:sz w:val="28"/>
          <w:szCs w:val="28"/>
        </w:rPr>
        <w:t>十足集团有限公司隶属人本集团商贸业，创立于</w:t>
      </w:r>
      <w:r>
        <w:rPr>
          <w:rFonts w:ascii="黑体" w:eastAsia="黑体" w:hAnsi="黑体" w:cs="黑体" w:hint="eastAsia"/>
          <w:spacing w:val="-32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9"/>
          <w:sz w:val="28"/>
          <w:szCs w:val="28"/>
        </w:rPr>
        <w:t>2001</w:t>
      </w:r>
      <w:r>
        <w:rPr>
          <w:rFonts w:ascii="黑体" w:eastAsia="黑体" w:hAnsi="黑体" w:cs="黑体" w:hint="eastAsia"/>
          <w:spacing w:val="-37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8"/>
          <w:sz w:val="28"/>
          <w:szCs w:val="28"/>
        </w:rPr>
        <w:t>年，主要分布浙江、江苏、安徽、山东</w:t>
      </w:r>
      <w:r>
        <w:rPr>
          <w:rFonts w:ascii="黑体" w:eastAsia="黑体" w:hAnsi="黑体" w:cs="黑体" w:hint="eastAsia"/>
          <w:spacing w:val="6"/>
          <w:sz w:val="28"/>
          <w:szCs w:val="28"/>
        </w:rPr>
        <w:t>地区，</w:t>
      </w:r>
      <w:r>
        <w:rPr>
          <w:rFonts w:ascii="黑体" w:eastAsia="黑体" w:hAnsi="黑体" w:cs="黑体" w:hint="eastAsia"/>
          <w:spacing w:val="-44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公司已拥有子公司</w:t>
      </w:r>
      <w:r>
        <w:rPr>
          <w:rFonts w:ascii="黑体" w:eastAsia="黑体" w:hAnsi="黑体" w:cs="黑体" w:hint="eastAsia"/>
          <w:spacing w:val="-35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27家，连锁便利店</w:t>
      </w:r>
      <w:r>
        <w:rPr>
          <w:rFonts w:ascii="黑体" w:eastAsia="黑体" w:hAnsi="黑体" w:cs="黑体" w:hint="eastAsia"/>
          <w:spacing w:val="-38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4500</w:t>
      </w:r>
      <w:r>
        <w:rPr>
          <w:rFonts w:ascii="黑体" w:eastAsia="黑体" w:hAnsi="黑体" w:cs="黑体" w:hint="eastAsia"/>
          <w:spacing w:val="-34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余家，固定资产</w:t>
      </w:r>
      <w:r>
        <w:rPr>
          <w:rFonts w:ascii="黑体" w:eastAsia="黑体" w:hAnsi="黑体" w:cs="黑体" w:hint="eastAsia"/>
          <w:spacing w:val="-22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15</w:t>
      </w:r>
      <w:r>
        <w:rPr>
          <w:rFonts w:ascii="黑体" w:eastAsia="黑体" w:hAnsi="黑体" w:cs="黑体" w:hint="eastAsia"/>
          <w:spacing w:val="-37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  <w:szCs w:val="28"/>
        </w:rPr>
        <w:t>亿，公司</w:t>
      </w:r>
      <w:r>
        <w:rPr>
          <w:rFonts w:ascii="黑体" w:eastAsia="黑体" w:hAnsi="黑体" w:cs="黑体" w:hint="eastAsia"/>
          <w:spacing w:val="5"/>
          <w:sz w:val="28"/>
          <w:szCs w:val="28"/>
        </w:rPr>
        <w:t>坚持“</w:t>
      </w:r>
      <w:r>
        <w:rPr>
          <w:rFonts w:ascii="黑体" w:eastAsia="黑体" w:hAnsi="黑体" w:cs="黑体" w:hint="eastAsia"/>
          <w:spacing w:val="-65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5"/>
          <w:sz w:val="28"/>
          <w:szCs w:val="28"/>
        </w:rPr>
        <w:t>以人</w:t>
      </w:r>
      <w:r>
        <w:rPr>
          <w:rFonts w:ascii="黑体" w:eastAsia="黑体" w:hAnsi="黑体" w:cs="黑体" w:hint="eastAsia"/>
          <w:spacing w:val="9"/>
          <w:sz w:val="28"/>
          <w:szCs w:val="28"/>
        </w:rPr>
        <w:t>为本</w:t>
      </w:r>
      <w:r>
        <w:rPr>
          <w:rFonts w:ascii="黑体" w:eastAsia="黑体" w:hAnsi="黑体" w:cs="黑体" w:hint="eastAsia"/>
          <w:spacing w:val="-66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9"/>
          <w:sz w:val="28"/>
          <w:szCs w:val="28"/>
        </w:rPr>
        <w:t>”，把“便民，利民</w:t>
      </w:r>
      <w:r>
        <w:rPr>
          <w:rFonts w:ascii="黑体" w:eastAsia="黑体" w:hAnsi="黑体" w:cs="黑体" w:hint="eastAsia"/>
          <w:spacing w:val="-68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9"/>
          <w:sz w:val="28"/>
          <w:szCs w:val="28"/>
        </w:rPr>
        <w:t>”作为顾客服务宗旨。在全球零售业加速变革背景下，“小而美</w:t>
      </w:r>
      <w:r>
        <w:rPr>
          <w:rFonts w:ascii="黑体" w:eastAsia="黑体" w:hAnsi="黑体" w:cs="黑体" w:hint="eastAsia"/>
          <w:spacing w:val="-69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9"/>
          <w:sz w:val="28"/>
          <w:szCs w:val="28"/>
        </w:rPr>
        <w:t>”的便利店将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8"/>
          <w:sz w:val="28"/>
          <w:szCs w:val="28"/>
        </w:rPr>
        <w:t>乘势而上，蓬勃发展。坚持快速发展之道，在做强的基础上，进一步做大</w:t>
      </w:r>
      <w:r>
        <w:rPr>
          <w:rFonts w:ascii="黑体" w:eastAsia="黑体" w:hAnsi="黑体" w:cs="黑体" w:hint="eastAsia"/>
          <w:spacing w:val="7"/>
          <w:sz w:val="28"/>
          <w:szCs w:val="28"/>
        </w:rPr>
        <w:t>规模，</w:t>
      </w:r>
      <w:r>
        <w:rPr>
          <w:rFonts w:ascii="黑体" w:eastAsia="黑体" w:hAnsi="黑体" w:cs="黑体" w:hint="eastAsia"/>
          <w:spacing w:val="-42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7"/>
          <w:sz w:val="28"/>
          <w:szCs w:val="28"/>
        </w:rPr>
        <w:t>目前实现销售</w:t>
      </w:r>
      <w:r>
        <w:rPr>
          <w:rFonts w:ascii="黑体" w:eastAsia="黑体" w:hAnsi="黑体" w:cs="黑体" w:hint="eastAsia"/>
          <w:spacing w:val="-22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7"/>
          <w:sz w:val="28"/>
          <w:szCs w:val="28"/>
        </w:rPr>
        <w:t>125</w:t>
      </w:r>
      <w:r>
        <w:rPr>
          <w:rFonts w:ascii="黑体" w:eastAsia="黑体" w:hAnsi="黑体" w:cs="黑体" w:hint="eastAsia"/>
          <w:spacing w:val="-35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7"/>
          <w:sz w:val="28"/>
          <w:szCs w:val="28"/>
        </w:rPr>
        <w:t>亿</w:t>
      </w:r>
      <w:r w:rsidR="001662DF">
        <w:rPr>
          <w:rFonts w:ascii="黑体" w:eastAsia="黑体" w:hAnsi="黑体" w:cs="黑体" w:hint="eastAsia"/>
          <w:spacing w:val="7"/>
          <w:sz w:val="28"/>
          <w:szCs w:val="28"/>
        </w:rPr>
        <w:t>。</w:t>
      </w:r>
    </w:p>
    <w:p w14:paraId="4C9398C7" w14:textId="77777777" w:rsidR="009B736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tbl>
      <w:tblPr>
        <w:tblStyle w:val="TableNormal"/>
        <w:tblpPr w:leftFromText="180" w:rightFromText="180" w:vertAnchor="text" w:horzAnchor="page" w:tblpXSpec="center" w:tblpY="228"/>
        <w:tblOverlap w:val="never"/>
        <w:tblW w:w="10644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3375"/>
        <w:gridCol w:w="709"/>
        <w:gridCol w:w="3515"/>
        <w:gridCol w:w="1049"/>
        <w:gridCol w:w="698"/>
      </w:tblGrid>
      <w:tr w:rsidR="009B7367" w14:paraId="2D464AF8" w14:textId="77777777">
        <w:trPr>
          <w:trHeight w:val="354"/>
          <w:jc w:val="center"/>
        </w:trPr>
        <w:tc>
          <w:tcPr>
            <w:tcW w:w="1298" w:type="dxa"/>
            <w:vAlign w:val="center"/>
          </w:tcPr>
          <w:p w14:paraId="2CDD1DE6" w14:textId="77777777" w:rsidR="009B7367" w:rsidRDefault="00000000">
            <w:pPr>
              <w:pStyle w:val="TableText"/>
              <w:spacing w:before="216" w:line="229" w:lineRule="auto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发展方向</w:t>
            </w:r>
            <w:proofErr w:type="spellEnd"/>
          </w:p>
        </w:tc>
        <w:tc>
          <w:tcPr>
            <w:tcW w:w="3375" w:type="dxa"/>
            <w:vAlign w:val="center"/>
          </w:tcPr>
          <w:p w14:paraId="60CA5743" w14:textId="77777777" w:rsidR="009B7367" w:rsidRDefault="00000000">
            <w:pPr>
              <w:pStyle w:val="TableText"/>
              <w:spacing w:before="216" w:line="229" w:lineRule="auto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专业要求</w:t>
            </w:r>
            <w:proofErr w:type="spellEnd"/>
          </w:p>
        </w:tc>
        <w:tc>
          <w:tcPr>
            <w:tcW w:w="709" w:type="dxa"/>
            <w:vAlign w:val="center"/>
          </w:tcPr>
          <w:p w14:paraId="4E170821" w14:textId="77777777" w:rsidR="009B7367" w:rsidRDefault="00000000">
            <w:pPr>
              <w:pStyle w:val="TableText"/>
              <w:spacing w:before="216" w:line="230" w:lineRule="auto"/>
              <w:rPr>
                <w:rFonts w:hint="eastAsia"/>
              </w:rPr>
            </w:pPr>
            <w:proofErr w:type="spellStart"/>
            <w:r>
              <w:rPr>
                <w:spacing w:val="3"/>
              </w:rPr>
              <w:t>学历</w:t>
            </w:r>
            <w:proofErr w:type="spellEnd"/>
          </w:p>
        </w:tc>
        <w:tc>
          <w:tcPr>
            <w:tcW w:w="3515" w:type="dxa"/>
            <w:vAlign w:val="center"/>
          </w:tcPr>
          <w:p w14:paraId="1C4D6479" w14:textId="77777777" w:rsidR="009B7367" w:rsidRDefault="00000000">
            <w:pPr>
              <w:pStyle w:val="TableText"/>
              <w:spacing w:before="216" w:line="229" w:lineRule="auto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岗位职责</w:t>
            </w:r>
            <w:proofErr w:type="spellEnd"/>
          </w:p>
        </w:tc>
        <w:tc>
          <w:tcPr>
            <w:tcW w:w="1049" w:type="dxa"/>
            <w:vAlign w:val="center"/>
          </w:tcPr>
          <w:p w14:paraId="0BBF2DAC" w14:textId="77777777" w:rsidR="009B7367" w:rsidRDefault="00000000">
            <w:pPr>
              <w:pStyle w:val="TableText"/>
              <w:spacing w:before="216" w:line="229" w:lineRule="auto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工作地点</w:t>
            </w:r>
            <w:proofErr w:type="spellEnd"/>
          </w:p>
        </w:tc>
        <w:tc>
          <w:tcPr>
            <w:tcW w:w="698" w:type="dxa"/>
            <w:vAlign w:val="center"/>
          </w:tcPr>
          <w:p w14:paraId="663555BA" w14:textId="77777777" w:rsidR="009B7367" w:rsidRDefault="00000000">
            <w:pPr>
              <w:pStyle w:val="TableText"/>
              <w:spacing w:before="217" w:line="228" w:lineRule="auto"/>
              <w:rPr>
                <w:rFonts w:hint="eastAsia"/>
              </w:rPr>
            </w:pPr>
            <w:proofErr w:type="spellStart"/>
            <w:r>
              <w:rPr>
                <w:spacing w:val="4"/>
              </w:rPr>
              <w:t>人数</w:t>
            </w:r>
            <w:proofErr w:type="spellEnd"/>
          </w:p>
        </w:tc>
      </w:tr>
      <w:tr w:rsidR="009B7367" w14:paraId="523E0F16" w14:textId="77777777">
        <w:trPr>
          <w:trHeight w:val="598"/>
          <w:jc w:val="center"/>
        </w:trPr>
        <w:tc>
          <w:tcPr>
            <w:tcW w:w="1298" w:type="dxa"/>
            <w:vAlign w:val="center"/>
          </w:tcPr>
          <w:p w14:paraId="19DE2FD6" w14:textId="77777777" w:rsidR="009B7367" w:rsidRDefault="00000000">
            <w:pPr>
              <w:pStyle w:val="TableText"/>
              <w:spacing w:before="62" w:line="229" w:lineRule="auto"/>
              <w:jc w:val="center"/>
              <w:rPr>
                <w:rFonts w:hint="eastAsia"/>
              </w:rPr>
            </w:pPr>
            <w:proofErr w:type="spellStart"/>
            <w:r>
              <w:rPr>
                <w:spacing w:val="5"/>
              </w:rPr>
              <w:t>区域指导员</w:t>
            </w:r>
            <w:proofErr w:type="spellEnd"/>
          </w:p>
        </w:tc>
        <w:tc>
          <w:tcPr>
            <w:tcW w:w="3375" w:type="dxa"/>
            <w:vAlign w:val="center"/>
          </w:tcPr>
          <w:p w14:paraId="487AE82D" w14:textId="77777777" w:rsidR="009B7367" w:rsidRDefault="00000000">
            <w:pPr>
              <w:pStyle w:val="TableText"/>
              <w:spacing w:before="61" w:line="228" w:lineRule="auto"/>
              <w:jc w:val="center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经管类专业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B5B6FA4" w14:textId="77777777" w:rsidR="009B7367" w:rsidRDefault="009B7367">
            <w:pPr>
              <w:spacing w:line="261" w:lineRule="auto"/>
              <w:jc w:val="center"/>
              <w:rPr>
                <w:rFonts w:ascii="Arial" w:hint="eastAsia"/>
              </w:rPr>
            </w:pPr>
          </w:p>
          <w:p w14:paraId="531F5A3F" w14:textId="77777777" w:rsidR="009B7367" w:rsidRDefault="00000000">
            <w:pPr>
              <w:pStyle w:val="TableText"/>
              <w:spacing w:before="61" w:line="227" w:lineRule="auto"/>
              <w:ind w:left="156"/>
              <w:jc w:val="center"/>
              <w:rPr>
                <w:rFonts w:hint="eastAsia"/>
              </w:rPr>
            </w:pPr>
            <w:proofErr w:type="spellStart"/>
            <w:r>
              <w:rPr>
                <w:spacing w:val="4"/>
              </w:rPr>
              <w:t>本科</w:t>
            </w:r>
            <w:proofErr w:type="spellEnd"/>
          </w:p>
        </w:tc>
        <w:tc>
          <w:tcPr>
            <w:tcW w:w="3515" w:type="dxa"/>
            <w:vAlign w:val="center"/>
          </w:tcPr>
          <w:p w14:paraId="39C07846" w14:textId="77777777" w:rsidR="009B7367" w:rsidRDefault="00000000">
            <w:pPr>
              <w:pStyle w:val="TableText"/>
              <w:spacing w:before="54" w:line="229" w:lineRule="auto"/>
              <w:jc w:val="center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员工沟通交流</w:t>
            </w:r>
            <w:r>
              <w:rPr>
                <w:rFonts w:hint="eastAsia"/>
                <w:spacing w:val="6"/>
                <w:lang w:eastAsia="zh-CN"/>
              </w:rPr>
              <w:t>，</w:t>
            </w:r>
            <w:r>
              <w:rPr>
                <w:spacing w:val="8"/>
                <w:lang w:eastAsia="zh-CN"/>
              </w:rPr>
              <w:t>单品管理、金牌团队打造</w:t>
            </w:r>
            <w:r>
              <w:rPr>
                <w:rFonts w:hint="eastAsia"/>
                <w:spacing w:val="8"/>
                <w:lang w:eastAsia="zh-CN"/>
              </w:rPr>
              <w:t>，</w:t>
            </w:r>
            <w:r>
              <w:rPr>
                <w:spacing w:val="8"/>
                <w:lang w:eastAsia="zh-CN"/>
              </w:rPr>
              <w:t>财务管理、公共关系管理</w:t>
            </w:r>
          </w:p>
        </w:tc>
        <w:tc>
          <w:tcPr>
            <w:tcW w:w="1049" w:type="dxa"/>
            <w:vMerge w:val="restart"/>
            <w:vAlign w:val="center"/>
          </w:tcPr>
          <w:p w14:paraId="5D99B50C" w14:textId="77777777" w:rsidR="009B7367" w:rsidRDefault="00000000">
            <w:pPr>
              <w:pStyle w:val="TableText"/>
              <w:spacing w:before="210" w:line="231" w:lineRule="auto"/>
              <w:ind w:left="132"/>
              <w:jc w:val="center"/>
              <w:rPr>
                <w:rFonts w:hint="eastAsia"/>
                <w:spacing w:val="-8"/>
                <w:lang w:eastAsia="zh-CN"/>
              </w:rPr>
            </w:pPr>
            <w:r>
              <w:rPr>
                <w:spacing w:val="7"/>
                <w:lang w:eastAsia="zh-CN"/>
              </w:rPr>
              <w:t>浙江</w:t>
            </w:r>
            <w:r>
              <w:rPr>
                <w:rFonts w:hint="eastAsia"/>
                <w:spacing w:val="7"/>
                <w:lang w:eastAsia="zh-CN"/>
              </w:rPr>
              <w:t>，</w:t>
            </w:r>
            <w:r>
              <w:rPr>
                <w:spacing w:val="7"/>
                <w:lang w:eastAsia="zh-CN"/>
              </w:rPr>
              <w:t>江</w:t>
            </w:r>
            <w:r>
              <w:rPr>
                <w:spacing w:val="-8"/>
                <w:lang w:eastAsia="zh-CN"/>
              </w:rPr>
              <w:t>苏</w:t>
            </w:r>
          </w:p>
          <w:p w14:paraId="236356D1" w14:textId="77777777" w:rsidR="009B7367" w:rsidRDefault="00000000">
            <w:pPr>
              <w:pStyle w:val="TableText"/>
              <w:spacing w:before="210" w:line="231" w:lineRule="auto"/>
              <w:rPr>
                <w:rFonts w:hint="eastAsia"/>
                <w:spacing w:val="3"/>
                <w:lang w:eastAsia="zh-CN"/>
              </w:rPr>
            </w:pPr>
            <w:r>
              <w:rPr>
                <w:spacing w:val="-8"/>
                <w:lang w:eastAsia="zh-CN"/>
              </w:rPr>
              <w:t>安徽</w:t>
            </w:r>
            <w:r>
              <w:rPr>
                <w:rFonts w:hint="eastAsia"/>
                <w:spacing w:val="-8"/>
                <w:lang w:eastAsia="zh-CN"/>
              </w:rPr>
              <w:t>，</w:t>
            </w:r>
            <w:r>
              <w:rPr>
                <w:spacing w:val="3"/>
                <w:lang w:eastAsia="zh-CN"/>
              </w:rPr>
              <w:t>山东</w:t>
            </w:r>
          </w:p>
          <w:p w14:paraId="3A0EBCE9" w14:textId="77777777" w:rsidR="009B7367" w:rsidRDefault="00000000">
            <w:pPr>
              <w:pStyle w:val="TableText"/>
              <w:spacing w:before="76" w:line="228" w:lineRule="auto"/>
              <w:ind w:firstLineChars="200" w:firstLine="392"/>
              <w:rPr>
                <w:rFonts w:hint="eastAsia"/>
                <w:lang w:eastAsia="zh-CN"/>
              </w:rPr>
            </w:pPr>
            <w:r>
              <w:rPr>
                <w:spacing w:val="3"/>
                <w:lang w:eastAsia="zh-CN"/>
              </w:rPr>
              <w:t>湖</w:t>
            </w:r>
            <w:r>
              <w:rPr>
                <w:lang w:eastAsia="zh-CN"/>
              </w:rPr>
              <w:t>南</w:t>
            </w:r>
          </w:p>
        </w:tc>
        <w:tc>
          <w:tcPr>
            <w:tcW w:w="698" w:type="dxa"/>
            <w:vAlign w:val="center"/>
          </w:tcPr>
          <w:p w14:paraId="2D1A3562" w14:textId="77777777" w:rsidR="009B7367" w:rsidRDefault="00000000">
            <w:pPr>
              <w:pStyle w:val="TableText"/>
              <w:spacing w:before="62" w:line="189" w:lineRule="auto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9B7367" w14:paraId="58169F39" w14:textId="77777777">
        <w:trPr>
          <w:trHeight w:val="403"/>
          <w:jc w:val="center"/>
        </w:trPr>
        <w:tc>
          <w:tcPr>
            <w:tcW w:w="1298" w:type="dxa"/>
            <w:vAlign w:val="center"/>
          </w:tcPr>
          <w:p w14:paraId="14958313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物流管理</w:t>
            </w:r>
            <w:proofErr w:type="spellEnd"/>
          </w:p>
        </w:tc>
        <w:tc>
          <w:tcPr>
            <w:tcW w:w="3375" w:type="dxa"/>
            <w:vAlign w:val="center"/>
          </w:tcPr>
          <w:p w14:paraId="6784DFDE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  <w:lang w:eastAsia="zh-CN"/>
              </w:rPr>
            </w:pPr>
            <w:r>
              <w:rPr>
                <w:spacing w:val="9"/>
                <w:lang w:eastAsia="zh-CN"/>
              </w:rPr>
              <w:t>物流类专业、管理类专业</w:t>
            </w:r>
          </w:p>
        </w:tc>
        <w:tc>
          <w:tcPr>
            <w:tcW w:w="709" w:type="dxa"/>
            <w:vMerge/>
            <w:vAlign w:val="center"/>
          </w:tcPr>
          <w:p w14:paraId="10E805C3" w14:textId="77777777" w:rsidR="009B7367" w:rsidRDefault="009B7367">
            <w:pPr>
              <w:jc w:val="center"/>
              <w:rPr>
                <w:rFonts w:ascii="Arial" w:hint="eastAsia"/>
              </w:rPr>
            </w:pPr>
          </w:p>
        </w:tc>
        <w:tc>
          <w:tcPr>
            <w:tcW w:w="3515" w:type="dxa"/>
            <w:vAlign w:val="center"/>
          </w:tcPr>
          <w:p w14:paraId="48CDD7F5" w14:textId="77777777" w:rsidR="009B7367" w:rsidRDefault="00000000">
            <w:pPr>
              <w:pStyle w:val="TableText"/>
              <w:spacing w:before="57" w:line="228" w:lineRule="auto"/>
              <w:rPr>
                <w:rFonts w:hint="eastAsia"/>
                <w:lang w:eastAsia="zh-CN"/>
              </w:rPr>
            </w:pP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门店路线设计</w:t>
            </w:r>
            <w:r>
              <w:rPr>
                <w:rFonts w:hint="eastAsia"/>
                <w:spacing w:val="3"/>
                <w:lang w:eastAsia="zh-CN"/>
              </w:rPr>
              <w:t>，</w:t>
            </w:r>
            <w:r>
              <w:rPr>
                <w:spacing w:val="8"/>
                <w:lang w:eastAsia="zh-CN"/>
              </w:rPr>
              <w:t>仓储物流选址</w:t>
            </w:r>
            <w:r>
              <w:rPr>
                <w:rFonts w:hint="eastAsia"/>
                <w:spacing w:val="8"/>
                <w:lang w:eastAsia="zh-CN"/>
              </w:rPr>
              <w:t>、仓储</w:t>
            </w:r>
          </w:p>
        </w:tc>
        <w:tc>
          <w:tcPr>
            <w:tcW w:w="1049" w:type="dxa"/>
            <w:vMerge/>
            <w:vAlign w:val="center"/>
          </w:tcPr>
          <w:p w14:paraId="60AC448F" w14:textId="77777777" w:rsidR="009B7367" w:rsidRDefault="009B7367">
            <w:pPr>
              <w:pStyle w:val="TableText"/>
              <w:spacing w:before="213" w:line="289" w:lineRule="auto"/>
              <w:ind w:left="435" w:right="111" w:hanging="303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698" w:type="dxa"/>
            <w:vAlign w:val="center"/>
          </w:tcPr>
          <w:p w14:paraId="49AFD2F2" w14:textId="77777777" w:rsidR="009B7367" w:rsidRDefault="00000000">
            <w:pPr>
              <w:pStyle w:val="TableText"/>
              <w:spacing w:before="62" w:line="190" w:lineRule="auto"/>
              <w:jc w:val="center"/>
              <w:rPr>
                <w:rFonts w:hint="eastAsia"/>
              </w:rPr>
            </w:pPr>
            <w:r>
              <w:rPr>
                <w:spacing w:val="-7"/>
              </w:rPr>
              <w:t>10</w:t>
            </w:r>
          </w:p>
        </w:tc>
      </w:tr>
      <w:tr w:rsidR="009B7367" w14:paraId="7DC60414" w14:textId="77777777">
        <w:trPr>
          <w:trHeight w:val="444"/>
          <w:jc w:val="center"/>
        </w:trPr>
        <w:tc>
          <w:tcPr>
            <w:tcW w:w="1298" w:type="dxa"/>
            <w:vAlign w:val="center"/>
          </w:tcPr>
          <w:p w14:paraId="0066B7E1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</w:rPr>
            </w:pPr>
            <w:proofErr w:type="spellStart"/>
            <w:r>
              <w:rPr>
                <w:spacing w:val="6"/>
              </w:rPr>
              <w:t>市场开发</w:t>
            </w:r>
            <w:proofErr w:type="spellEnd"/>
          </w:p>
        </w:tc>
        <w:tc>
          <w:tcPr>
            <w:tcW w:w="3375" w:type="dxa"/>
            <w:vAlign w:val="center"/>
          </w:tcPr>
          <w:p w14:paraId="29E06E8F" w14:textId="77777777" w:rsidR="009B7367" w:rsidRDefault="00000000">
            <w:pPr>
              <w:pStyle w:val="TableText"/>
              <w:spacing w:before="61" w:line="229" w:lineRule="auto"/>
              <w:ind w:firstLineChars="300" w:firstLine="612"/>
              <w:jc w:val="center"/>
              <w:rPr>
                <w:rFonts w:hint="eastAsia"/>
              </w:rPr>
            </w:pPr>
            <w:proofErr w:type="spellStart"/>
            <w:r>
              <w:rPr>
                <w:spacing w:val="7"/>
              </w:rPr>
              <w:t>专业不限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1AD683D5" w14:textId="77777777" w:rsidR="009B7367" w:rsidRDefault="009B7367">
            <w:pPr>
              <w:jc w:val="center"/>
              <w:rPr>
                <w:rFonts w:ascii="Arial" w:hint="eastAsia"/>
              </w:rPr>
            </w:pPr>
          </w:p>
        </w:tc>
        <w:tc>
          <w:tcPr>
            <w:tcW w:w="3515" w:type="dxa"/>
            <w:vAlign w:val="center"/>
          </w:tcPr>
          <w:p w14:paraId="24C82865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</w:rPr>
            </w:pPr>
            <w:proofErr w:type="spellStart"/>
            <w:r>
              <w:rPr>
                <w:spacing w:val="9"/>
              </w:rPr>
              <w:t>新店选址、市场开拓</w:t>
            </w:r>
            <w:proofErr w:type="spellEnd"/>
          </w:p>
        </w:tc>
        <w:tc>
          <w:tcPr>
            <w:tcW w:w="1049" w:type="dxa"/>
            <w:vMerge/>
            <w:vAlign w:val="center"/>
          </w:tcPr>
          <w:p w14:paraId="3F779D37" w14:textId="77777777" w:rsidR="009B7367" w:rsidRDefault="009B7367">
            <w:pPr>
              <w:pStyle w:val="TableText"/>
              <w:spacing w:before="77" w:line="230" w:lineRule="auto"/>
              <w:ind w:left="433"/>
              <w:jc w:val="center"/>
              <w:rPr>
                <w:rFonts w:hint="eastAsia"/>
              </w:rPr>
            </w:pPr>
          </w:p>
        </w:tc>
        <w:tc>
          <w:tcPr>
            <w:tcW w:w="698" w:type="dxa"/>
            <w:vAlign w:val="center"/>
          </w:tcPr>
          <w:p w14:paraId="201CAF6E" w14:textId="77777777" w:rsidR="009B7367" w:rsidRDefault="00000000">
            <w:pPr>
              <w:pStyle w:val="TableText"/>
              <w:spacing w:before="62" w:line="189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10</w:t>
            </w:r>
          </w:p>
        </w:tc>
      </w:tr>
      <w:tr w:rsidR="009B7367" w14:paraId="5D17CB37" w14:textId="77777777">
        <w:trPr>
          <w:trHeight w:val="482"/>
          <w:jc w:val="center"/>
        </w:trPr>
        <w:tc>
          <w:tcPr>
            <w:tcW w:w="1298" w:type="dxa"/>
            <w:vAlign w:val="center"/>
          </w:tcPr>
          <w:p w14:paraId="63532072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  <w:spacing w:val="6"/>
                <w:lang w:eastAsia="zh-CN"/>
              </w:rPr>
            </w:pPr>
            <w:r>
              <w:rPr>
                <w:rFonts w:hint="eastAsia"/>
                <w:spacing w:val="6"/>
                <w:lang w:eastAsia="zh-CN"/>
              </w:rPr>
              <w:t>储备干部</w:t>
            </w:r>
          </w:p>
        </w:tc>
        <w:tc>
          <w:tcPr>
            <w:tcW w:w="3375" w:type="dxa"/>
            <w:vAlign w:val="center"/>
          </w:tcPr>
          <w:p w14:paraId="35C8C8C7" w14:textId="77777777" w:rsidR="009B7367" w:rsidRDefault="00000000">
            <w:pPr>
              <w:pStyle w:val="TableText"/>
              <w:spacing w:before="61" w:line="229" w:lineRule="auto"/>
              <w:ind w:firstLineChars="300" w:firstLine="612"/>
              <w:jc w:val="center"/>
              <w:rPr>
                <w:rFonts w:hint="eastAsia"/>
                <w:spacing w:val="7"/>
              </w:rPr>
            </w:pPr>
            <w:proofErr w:type="spellStart"/>
            <w:r>
              <w:rPr>
                <w:spacing w:val="7"/>
              </w:rPr>
              <w:t>专业不限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14:paraId="3624C515" w14:textId="77777777" w:rsidR="009B7367" w:rsidRDefault="009B7367">
            <w:pPr>
              <w:jc w:val="center"/>
              <w:rPr>
                <w:rFonts w:ascii="Arial" w:hint="eastAsia"/>
              </w:rPr>
            </w:pPr>
          </w:p>
        </w:tc>
        <w:tc>
          <w:tcPr>
            <w:tcW w:w="3515" w:type="dxa"/>
            <w:vAlign w:val="center"/>
          </w:tcPr>
          <w:p w14:paraId="53B26526" w14:textId="77777777" w:rsidR="009B7367" w:rsidRDefault="00000000">
            <w:pPr>
              <w:pStyle w:val="TableText"/>
              <w:spacing w:before="62" w:line="228" w:lineRule="auto"/>
              <w:jc w:val="center"/>
              <w:rPr>
                <w:rFonts w:hint="eastAsia"/>
                <w:spacing w:val="9"/>
                <w:lang w:eastAsia="zh-CN"/>
              </w:rPr>
            </w:pPr>
            <w:r>
              <w:rPr>
                <w:rFonts w:hint="eastAsia"/>
                <w:spacing w:val="9"/>
                <w:lang w:eastAsia="zh-CN"/>
              </w:rPr>
              <w:t>前期轮岗学习，发展为职能管理类岗位</w:t>
            </w:r>
          </w:p>
        </w:tc>
        <w:tc>
          <w:tcPr>
            <w:tcW w:w="1049" w:type="dxa"/>
            <w:vMerge/>
            <w:vAlign w:val="center"/>
          </w:tcPr>
          <w:p w14:paraId="72D5844B" w14:textId="77777777" w:rsidR="009B7367" w:rsidRDefault="009B7367">
            <w:pPr>
              <w:pStyle w:val="TableText"/>
              <w:spacing w:before="77" w:line="230" w:lineRule="auto"/>
              <w:ind w:left="433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698" w:type="dxa"/>
            <w:vAlign w:val="center"/>
          </w:tcPr>
          <w:p w14:paraId="2CFCD971" w14:textId="77777777" w:rsidR="009B7367" w:rsidRDefault="00000000">
            <w:pPr>
              <w:pStyle w:val="TableText"/>
              <w:spacing w:before="62" w:line="189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20</w:t>
            </w:r>
          </w:p>
        </w:tc>
      </w:tr>
    </w:tbl>
    <w:p w14:paraId="3B43FEF7" w14:textId="77777777" w:rsidR="009B7367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福利待遇</w:t>
      </w:r>
    </w:p>
    <w:p w14:paraId="2C09AEC1" w14:textId="77777777" w:rsidR="009B7367" w:rsidRPr="00D371C8" w:rsidRDefault="00000000">
      <w:pPr>
        <w:spacing w:line="300" w:lineRule="exact"/>
        <w:ind w:firstLineChars="200" w:firstLine="594"/>
        <w:rPr>
          <w:rFonts w:ascii="宋体" w:eastAsia="宋体" w:hAnsi="宋体" w:cs="宋体" w:hint="eastAsia"/>
          <w:spacing w:val="8"/>
          <w:sz w:val="28"/>
        </w:rPr>
      </w:pPr>
      <w:r w:rsidRPr="00D371C8">
        <w:rPr>
          <w:rFonts w:ascii="宋体" w:eastAsia="宋体" w:hAnsi="宋体" w:cs="宋体"/>
          <w:b/>
          <w:bCs/>
          <w:spacing w:val="8"/>
          <w:sz w:val="28"/>
        </w:rPr>
        <w:t>薪资体系：</w:t>
      </w:r>
      <w:r w:rsidRPr="00D371C8">
        <w:rPr>
          <w:rFonts w:ascii="宋体" w:eastAsia="宋体" w:hAnsi="宋体" w:cs="宋体"/>
          <w:spacing w:val="8"/>
          <w:sz w:val="28"/>
        </w:rPr>
        <w:t>实习期</w:t>
      </w:r>
      <w:r w:rsidRPr="00D371C8">
        <w:rPr>
          <w:rFonts w:ascii="宋体" w:eastAsia="宋体" w:hAnsi="宋体" w:cs="宋体"/>
          <w:spacing w:val="-28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2-5</w:t>
      </w:r>
      <w:r w:rsidRPr="00D371C8">
        <w:rPr>
          <w:rFonts w:ascii="宋体" w:eastAsia="宋体" w:hAnsi="宋体" w:cs="宋体"/>
          <w:spacing w:val="-38"/>
          <w:sz w:val="28"/>
        </w:rPr>
        <w:t xml:space="preserve"> </w:t>
      </w:r>
      <w:proofErr w:type="gramStart"/>
      <w:r w:rsidRPr="00D371C8">
        <w:rPr>
          <w:rFonts w:ascii="宋体" w:eastAsia="宋体" w:hAnsi="宋体" w:cs="宋体"/>
          <w:spacing w:val="8"/>
          <w:sz w:val="28"/>
        </w:rPr>
        <w:t>个</w:t>
      </w:r>
      <w:proofErr w:type="gramEnd"/>
      <w:r w:rsidRPr="00D371C8">
        <w:rPr>
          <w:rFonts w:ascii="宋体" w:eastAsia="宋体" w:hAnsi="宋体" w:cs="宋体"/>
          <w:spacing w:val="8"/>
          <w:sz w:val="28"/>
        </w:rPr>
        <w:t>月，薪资待遇：区域指导员保底</w:t>
      </w:r>
      <w:r w:rsidRPr="00D371C8">
        <w:rPr>
          <w:rFonts w:ascii="宋体" w:eastAsia="宋体" w:hAnsi="宋体" w:cs="宋体"/>
          <w:spacing w:val="-34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6000</w:t>
      </w:r>
      <w:r w:rsidRPr="00D371C8">
        <w:rPr>
          <w:rFonts w:ascii="宋体" w:eastAsia="宋体" w:hAnsi="宋体" w:cs="宋体"/>
          <w:spacing w:val="-34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元/月，转正后不低于实习期，具体薪资根据位次核</w:t>
      </w:r>
      <w:r w:rsidRPr="00D371C8">
        <w:rPr>
          <w:rFonts w:ascii="宋体" w:eastAsia="宋体" w:hAnsi="宋体" w:cs="宋体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算。其余储备干部岗位实习期月薪</w:t>
      </w:r>
      <w:r w:rsidRPr="00D371C8">
        <w:rPr>
          <w:rFonts w:ascii="宋体" w:eastAsia="宋体" w:hAnsi="宋体" w:cs="宋体"/>
          <w:spacing w:val="-28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5000</w:t>
      </w:r>
      <w:r w:rsidRPr="00D371C8">
        <w:rPr>
          <w:rFonts w:ascii="宋体" w:eastAsia="宋体" w:hAnsi="宋体" w:cs="宋体"/>
          <w:spacing w:val="-36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元+（0~500</w:t>
      </w:r>
      <w:r w:rsidRPr="00D371C8">
        <w:rPr>
          <w:rFonts w:ascii="宋体" w:eastAsia="宋体" w:hAnsi="宋体" w:cs="宋体"/>
          <w:spacing w:val="-37"/>
          <w:sz w:val="28"/>
        </w:rPr>
        <w:t xml:space="preserve"> </w:t>
      </w:r>
      <w:r w:rsidRPr="00D371C8">
        <w:rPr>
          <w:rFonts w:ascii="宋体" w:eastAsia="宋体" w:hAnsi="宋体" w:cs="宋体"/>
          <w:spacing w:val="8"/>
          <w:sz w:val="28"/>
        </w:rPr>
        <w:t>元）考核，转正后不低于实习期，具体薪资根据岗位确定。</w:t>
      </w:r>
    </w:p>
    <w:p w14:paraId="697271E2" w14:textId="77777777" w:rsidR="009B7367" w:rsidRPr="00D371C8" w:rsidRDefault="00000000">
      <w:pPr>
        <w:pStyle w:val="a3"/>
        <w:spacing w:before="32" w:line="300" w:lineRule="exact"/>
        <w:ind w:right="721" w:firstLineChars="200" w:firstLine="602"/>
        <w:rPr>
          <w:rFonts w:hint="eastAsia"/>
          <w:sz w:val="28"/>
          <w:lang w:eastAsia="zh-CN"/>
        </w:rPr>
      </w:pPr>
      <w:r w:rsidRPr="00D371C8">
        <w:rPr>
          <w:b/>
          <w:bCs/>
          <w:spacing w:val="10"/>
          <w:sz w:val="28"/>
          <w:lang w:eastAsia="zh-CN"/>
        </w:rPr>
        <w:t>社会保障：</w:t>
      </w:r>
      <w:r w:rsidRPr="00D371C8">
        <w:rPr>
          <w:spacing w:val="10"/>
          <w:sz w:val="28"/>
          <w:lang w:eastAsia="zh-CN"/>
        </w:rPr>
        <w:t>为员工交纳养老、医疗、工伤、生育、失业等完善的社会保险</w:t>
      </w:r>
      <w:r w:rsidRPr="00D371C8">
        <w:rPr>
          <w:spacing w:val="9"/>
          <w:sz w:val="28"/>
          <w:lang w:eastAsia="zh-CN"/>
        </w:rPr>
        <w:t>和住房公积金；为每位员工办理商业人身</w:t>
      </w:r>
      <w:r w:rsidRPr="00D371C8">
        <w:rPr>
          <w:sz w:val="28"/>
          <w:lang w:eastAsia="zh-CN"/>
        </w:rPr>
        <w:t xml:space="preserve"> </w:t>
      </w:r>
      <w:r w:rsidRPr="00D371C8">
        <w:rPr>
          <w:spacing w:val="3"/>
          <w:sz w:val="28"/>
          <w:lang w:eastAsia="zh-CN"/>
        </w:rPr>
        <w:t>保险。</w:t>
      </w:r>
    </w:p>
    <w:p w14:paraId="1DCE835C" w14:textId="77777777" w:rsidR="009B7367" w:rsidRPr="00D371C8" w:rsidRDefault="00000000">
      <w:pPr>
        <w:pStyle w:val="a3"/>
        <w:spacing w:before="30" w:line="300" w:lineRule="exact"/>
        <w:ind w:firstLineChars="200" w:firstLine="598"/>
        <w:rPr>
          <w:rFonts w:hint="eastAsia"/>
          <w:sz w:val="28"/>
          <w:lang w:eastAsia="zh-CN"/>
        </w:rPr>
      </w:pPr>
      <w:r w:rsidRPr="00D371C8">
        <w:rPr>
          <w:b/>
          <w:bCs/>
          <w:spacing w:val="9"/>
          <w:sz w:val="28"/>
          <w:lang w:eastAsia="zh-CN"/>
        </w:rPr>
        <w:t>假期：</w:t>
      </w:r>
      <w:r w:rsidRPr="00D371C8">
        <w:rPr>
          <w:spacing w:val="9"/>
          <w:sz w:val="28"/>
          <w:lang w:eastAsia="zh-CN"/>
        </w:rPr>
        <w:t>享受国家法定假日，以及带薪年假、婚假、产假等。</w:t>
      </w:r>
    </w:p>
    <w:p w14:paraId="40D70352" w14:textId="77777777" w:rsidR="009B7367" w:rsidRPr="00D371C8" w:rsidRDefault="00000000">
      <w:pPr>
        <w:pStyle w:val="a3"/>
        <w:spacing w:before="234" w:line="300" w:lineRule="exact"/>
        <w:ind w:right="712" w:firstLineChars="200" w:firstLine="598"/>
        <w:rPr>
          <w:rFonts w:hint="eastAsia"/>
          <w:sz w:val="28"/>
          <w:szCs w:val="28"/>
          <w:lang w:eastAsia="zh-CN"/>
        </w:rPr>
      </w:pPr>
      <w:r w:rsidRPr="00D371C8">
        <w:rPr>
          <w:b/>
          <w:bCs/>
          <w:spacing w:val="9"/>
          <w:sz w:val="28"/>
          <w:lang w:eastAsia="zh-CN"/>
        </w:rPr>
        <w:t>后勤保障：免费提供住宿、提供用餐补贴</w:t>
      </w:r>
      <w:r w:rsidRPr="00D371C8">
        <w:rPr>
          <w:spacing w:val="9"/>
          <w:sz w:val="28"/>
          <w:lang w:eastAsia="zh-CN"/>
        </w:rPr>
        <w:t>，同时经常组织开展丰富多彩的文体、旅游活动等、每年一次的免费健康</w:t>
      </w:r>
      <w:r w:rsidRPr="00D371C8">
        <w:rPr>
          <w:spacing w:val="16"/>
          <w:sz w:val="28"/>
          <w:lang w:eastAsia="zh-CN"/>
        </w:rPr>
        <w:t xml:space="preserve"> </w:t>
      </w:r>
      <w:r w:rsidRPr="00D371C8">
        <w:rPr>
          <w:spacing w:val="5"/>
          <w:sz w:val="28"/>
          <w:lang w:eastAsia="zh-CN"/>
        </w:rPr>
        <w:t>体检等。</w:t>
      </w:r>
    </w:p>
    <w:p w14:paraId="6E3C2A2E" w14:textId="77777777" w:rsidR="009B736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9B7367" w:rsidRDefault="00000000">
      <w:pPr>
        <w:spacing w:line="3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联系人：葛涛         电话：15267791551</w:t>
      </w:r>
    </w:p>
    <w:p w14:paraId="690B6020" w14:textId="77777777" w:rsidR="009B7367" w:rsidRDefault="00000000">
      <w:pPr>
        <w:spacing w:line="300" w:lineRule="exact"/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地址：浙江省杭州市拱</w:t>
      </w:r>
      <w:proofErr w:type="gramStart"/>
      <w:r>
        <w:rPr>
          <w:rFonts w:ascii="宋体" w:eastAsia="宋体" w:hAnsi="宋体" w:hint="eastAsia"/>
          <w:sz w:val="28"/>
          <w:szCs w:val="28"/>
        </w:rPr>
        <w:t>墅</w:t>
      </w:r>
      <w:proofErr w:type="gramEnd"/>
      <w:r>
        <w:rPr>
          <w:rFonts w:ascii="宋体" w:eastAsia="宋体" w:hAnsi="宋体" w:hint="eastAsia"/>
          <w:sz w:val="28"/>
          <w:szCs w:val="28"/>
        </w:rPr>
        <w:t>区石桥路416号</w:t>
      </w:r>
    </w:p>
    <w:sectPr w:rsidR="009B7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E5A1074"/>
    <w:multiLevelType w:val="singleLevel"/>
    <w:tmpl w:val="DE5A107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47664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662DF"/>
    <w:rsid w:val="001F264C"/>
    <w:rsid w:val="002C7913"/>
    <w:rsid w:val="00415CB7"/>
    <w:rsid w:val="00442800"/>
    <w:rsid w:val="004C4C87"/>
    <w:rsid w:val="005732F7"/>
    <w:rsid w:val="00623128"/>
    <w:rsid w:val="00686914"/>
    <w:rsid w:val="006F38C3"/>
    <w:rsid w:val="00864EC3"/>
    <w:rsid w:val="008831D8"/>
    <w:rsid w:val="009B7367"/>
    <w:rsid w:val="00B378D3"/>
    <w:rsid w:val="00B44C1F"/>
    <w:rsid w:val="00C80A21"/>
    <w:rsid w:val="00D371C8"/>
    <w:rsid w:val="00D743D1"/>
    <w:rsid w:val="00D77761"/>
    <w:rsid w:val="00E74330"/>
    <w:rsid w:val="62E2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681BB6"/>
  <w15:docId w15:val="{78832603-0D60-414E-A84D-4E49739D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359</Words>
  <Characters>381</Characters>
  <Application>Microsoft Office Word</Application>
  <DocSecurity>0</DocSecurity>
  <Lines>38</Lines>
  <Paragraphs>41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eyJoZGlkIjoiODJjNWVjNDg0YmE3ODMzZmJkOGNlMTY1YzgzZjUwOWIiLCJ1c2VySWQiOiI2MDM1MzM2ODEifQ==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415ADB92D94E40378AE0CD8139CEA19F_12</vt:lpwstr>
  </property>
</Properties>
</file>